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AC" w:rsidRPr="005836AC" w:rsidRDefault="005836AC" w:rsidP="0058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836AC" w:rsidRPr="005836AC" w:rsidRDefault="005836AC" w:rsidP="0058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836AC" w:rsidRPr="005836AC" w:rsidRDefault="005836AC" w:rsidP="0058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 xml:space="preserve">    Марьевский сельсовет</w:t>
      </w:r>
    </w:p>
    <w:p w:rsidR="005836AC" w:rsidRPr="005836AC" w:rsidRDefault="005836AC" w:rsidP="0058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 xml:space="preserve">     Сакмарского района</w:t>
      </w:r>
    </w:p>
    <w:p w:rsidR="005836AC" w:rsidRPr="005836AC" w:rsidRDefault="005836AC" w:rsidP="0058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 xml:space="preserve">   Оренбургской области</w:t>
      </w:r>
    </w:p>
    <w:p w:rsidR="005836AC" w:rsidRPr="005836AC" w:rsidRDefault="005836AC" w:rsidP="0058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</w:t>
      </w:r>
    </w:p>
    <w:p w:rsidR="005836AC" w:rsidRPr="005836AC" w:rsidRDefault="005836AC" w:rsidP="0058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>от  03 августа 2018года  №2</w:t>
      </w:r>
      <w:r w:rsidR="0078443B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5836A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836AC" w:rsidRPr="005836AC" w:rsidRDefault="005836AC" w:rsidP="00583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 xml:space="preserve">        с. Марьевка</w:t>
      </w:r>
    </w:p>
    <w:p w:rsidR="005836AC" w:rsidRPr="005836AC" w:rsidRDefault="005836AC" w:rsidP="0058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AC" w:rsidRPr="005836AC" w:rsidRDefault="005836AC" w:rsidP="0058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836AC" w:rsidRPr="005836AC" w:rsidRDefault="005836AC" w:rsidP="005836AC">
      <w:pPr>
        <w:tabs>
          <w:tab w:val="left" w:pos="48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36AC">
        <w:rPr>
          <w:rFonts w:ascii="Times New Roman" w:eastAsia="Times New Roman" w:hAnsi="Times New Roman" w:cs="Times New Roman"/>
        </w:rPr>
        <w:t>Об утверждении административного регламента</w:t>
      </w:r>
    </w:p>
    <w:p w:rsidR="005836AC" w:rsidRPr="005836AC" w:rsidRDefault="005836AC" w:rsidP="005836AC">
      <w:pPr>
        <w:tabs>
          <w:tab w:val="left" w:pos="48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36AC">
        <w:rPr>
          <w:rFonts w:ascii="Times New Roman" w:eastAsia="Times New Roman" w:hAnsi="Times New Roman" w:cs="Times New Roman"/>
        </w:rPr>
        <w:t>предоставления муниципальной услуги</w:t>
      </w:r>
    </w:p>
    <w:p w:rsidR="005836AC" w:rsidRPr="005836AC" w:rsidRDefault="005836AC" w:rsidP="005836AC">
      <w:pPr>
        <w:tabs>
          <w:tab w:val="left" w:pos="48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36AC">
        <w:rPr>
          <w:rFonts w:ascii="Times New Roman" w:eastAsia="Times New Roman" w:hAnsi="Times New Roman" w:cs="Times New Roman"/>
        </w:rPr>
        <w:t xml:space="preserve">««Выдача разрешения на право организации розничного рынка»  </w:t>
      </w:r>
    </w:p>
    <w:p w:rsidR="005836AC" w:rsidRPr="005836AC" w:rsidRDefault="005836AC" w:rsidP="005836AC">
      <w:pPr>
        <w:tabs>
          <w:tab w:val="left" w:pos="4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AC" w:rsidRPr="005836AC" w:rsidRDefault="005836AC" w:rsidP="0058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AC" w:rsidRPr="005836AC" w:rsidRDefault="005836AC" w:rsidP="0058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AC" w:rsidRPr="005836AC" w:rsidRDefault="005836AC" w:rsidP="0058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Федеральными законами от 27.07.2010 210-ФЗ «Об организации предоставления государственных и муниципальных услуг“, от 29.12.2012 N273-(Ф3 «Об Образовании в Российской Федерации», руководствуясь протоколом №12- пр. от 22.05.2018 г., утвержденным на заседании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учреждений:</w:t>
      </w:r>
    </w:p>
    <w:p w:rsidR="005836AC" w:rsidRPr="005836AC" w:rsidRDefault="005836AC" w:rsidP="005836AC">
      <w:pPr>
        <w:tabs>
          <w:tab w:val="left" w:pos="1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36AC" w:rsidRPr="005836AC" w:rsidRDefault="005836AC" w:rsidP="005836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AC" w:rsidRPr="005836AC" w:rsidRDefault="005836AC" w:rsidP="005836AC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5836A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836AC">
        <w:rPr>
          <w:rFonts w:ascii="Times New Roman" w:eastAsia="Times New Roman" w:hAnsi="Times New Roman" w:cs="Times New Roman"/>
          <w:sz w:val="28"/>
          <w:szCs w:val="28"/>
        </w:rPr>
        <w:t>««Выдача разрешения на право организации розничного рынка»</w:t>
      </w:r>
    </w:p>
    <w:p w:rsidR="005836AC" w:rsidRPr="005836AC" w:rsidRDefault="005836AC" w:rsidP="005836AC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Отменить постановление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836AC">
        <w:rPr>
          <w:rFonts w:ascii="Times New Roman" w:eastAsia="Times New Roman" w:hAnsi="Times New Roman" w:cs="Times New Roman"/>
          <w:color w:val="000000"/>
          <w:sz w:val="28"/>
          <w:szCs w:val="28"/>
        </w:rPr>
        <w:t>-п от 02.08.2017года «Об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36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5836AC" w:rsidRPr="005836AC" w:rsidRDefault="005836AC" w:rsidP="005836AC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«Выдача, продление, переоформление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36A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 на право организации розничного рынка»»</w:t>
      </w:r>
    </w:p>
    <w:p w:rsidR="005836AC" w:rsidRPr="005836AC" w:rsidRDefault="005836AC" w:rsidP="005836A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836AC" w:rsidRPr="005836AC" w:rsidRDefault="005836AC" w:rsidP="005836A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обнародования и подлежит размещению на сайте администрации.</w:t>
      </w:r>
    </w:p>
    <w:p w:rsidR="005836AC" w:rsidRPr="005836AC" w:rsidRDefault="005836AC" w:rsidP="0058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AC" w:rsidRPr="005836AC" w:rsidRDefault="005836AC" w:rsidP="0058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AC" w:rsidRPr="005836AC" w:rsidRDefault="005836AC" w:rsidP="0058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AC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С.А. Руднев</w:t>
      </w:r>
    </w:p>
    <w:p w:rsidR="005836AC" w:rsidRPr="005836AC" w:rsidRDefault="005836AC" w:rsidP="0058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AC" w:rsidRDefault="005836AC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AC" w:rsidRDefault="005836AC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AC" w:rsidRDefault="005836AC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AC" w:rsidRDefault="005836AC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AC" w:rsidRDefault="005836AC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AC" w:rsidRDefault="005836AC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AC" w:rsidRDefault="005836AC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AC" w:rsidRDefault="005836AC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AC" w:rsidRDefault="005836AC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9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4E5915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осуществляющий 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4E591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1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4E591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4E591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4E591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4E591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</w:t>
      </w:r>
      <w:r w:rsidR="0001198D" w:rsidRPr="0014449C">
        <w:rPr>
          <w:rFonts w:ascii="Times New Roman" w:hAnsi="Times New Roman"/>
          <w:sz w:val="28"/>
          <w:szCs w:val="28"/>
        </w:rPr>
        <w:lastRenderedPageBreak/>
        <w:t>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276"/>
      <w:bookmarkEnd w:id="21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  <w:r w:rsidR="005836AC">
        <w:rPr>
          <w:rFonts w:ascii="Times New Roman" w:hAnsi="Times New Roman" w:cs="Times New Roman"/>
          <w:sz w:val="28"/>
          <w:szCs w:val="28"/>
        </w:rPr>
        <w:t>.</w:t>
      </w:r>
    </w:p>
    <w:p w:rsidR="00690BF4" w:rsidRPr="0014449C" w:rsidRDefault="00690BF4" w:rsidP="005836AC">
      <w:pPr>
        <w:pStyle w:val="ConsPlusNormal"/>
        <w:ind w:firstLine="540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84"/>
      <w:bookmarkEnd w:id="22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301"/>
      <w:bookmarkEnd w:id="24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</w:t>
      </w:r>
      <w:r w:rsidR="00CF3547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 xml:space="preserve">предоставлении выписки из Единого государственного реестра </w:t>
      </w:r>
      <w:r w:rsidR="000A3EC8" w:rsidRPr="0014449C">
        <w:rPr>
          <w:rFonts w:ascii="Times New Roman" w:hAnsi="Times New Roman" w:cs="Times New Roman"/>
          <w:sz w:val="28"/>
          <w:szCs w:val="28"/>
        </w:rPr>
        <w:lastRenderedPageBreak/>
        <w:t>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57"/>
      <w:bookmarkEnd w:id="26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</w:t>
      </w:r>
      <w:r w:rsidR="00BF3A9B" w:rsidRPr="0014449C">
        <w:rPr>
          <w:rFonts w:ascii="Times New Roman" w:hAnsi="Times New Roman" w:cs="Times New Roman"/>
          <w:sz w:val="28"/>
          <w:szCs w:val="28"/>
        </w:rPr>
        <w:lastRenderedPageBreak/>
        <w:t>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73"/>
      <w:bookmarkEnd w:id="27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90"/>
      <w:bookmarkEnd w:id="28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3.6.4. Ответственный исполнитель одновременно готовит проект правового акта администрации муниципального образования о выдаче разрешения на право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E6CB6" w:rsidRPr="0014449C">
        <w:rPr>
          <w:rFonts w:ascii="Times New Roman" w:hAnsi="Times New Roman" w:cs="Times New Roman"/>
          <w:sz w:val="28"/>
          <w:szCs w:val="28"/>
        </w:rPr>
        <w:lastRenderedPageBreak/>
        <w:t>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9" w:name="Par431"/>
      <w:bookmarkEnd w:id="29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3) отсутствие обоснованных жалоб со стороны заявителей по результатам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муниципальную услугу, в том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8"/>
      <w:bookmarkEnd w:id="32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89"/>
      <w:bookmarkEnd w:id="33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05"/>
      <w:bookmarkEnd w:id="34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13"/>
      <w:bookmarkEnd w:id="35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6" w:name="Par521"/>
      <w:bookmarkStart w:id="37" w:name="Par642"/>
      <w:bookmarkEnd w:id="36"/>
      <w:bookmarkEnd w:id="37"/>
      <w:r w:rsidRPr="00BE314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E3145">
        <w:rPr>
          <w:rFonts w:ascii="Times New Roman" w:hAnsi="Times New Roman" w:cs="Times New Roman"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3145">
        <w:rPr>
          <w:rFonts w:ascii="Times New Roman" w:hAnsi="Times New Roman" w:cs="Times New Roman"/>
          <w:bCs/>
          <w:sz w:val="28"/>
          <w:szCs w:val="28"/>
        </w:rPr>
        <w:t xml:space="preserve"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</w:t>
      </w:r>
      <w:r w:rsidRPr="00BE3145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661"/>
      <w:bookmarkEnd w:id="38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0" w:name="sub_4667"/>
      <w:bookmarkEnd w:id="39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0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5A3049" w:rsidRPr="005A3049">
        <w:rPr>
          <w:rFonts w:ascii="Times New Roman" w:hAnsi="Times New Roman" w:cs="Times New Roman"/>
          <w:sz w:val="28"/>
          <w:szCs w:val="28"/>
          <w:lang w:eastAsia="en-US"/>
        </w:rPr>
        <w:t>администрации муниципального образования Марьевский сельсовет, Сакмарского района, Оренбургской области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5A3049" w:rsidRPr="005A3049">
        <w:rPr>
          <w:rFonts w:ascii="Times New Roman" w:hAnsi="Times New Roman" w:cs="Times New Roman"/>
          <w:sz w:val="28"/>
          <w:szCs w:val="28"/>
          <w:lang w:eastAsia="en-US"/>
        </w:rPr>
        <w:t>администрации муниципального образования Марьевский сельсовет, Сакмарского района, Оренбургской области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2"/>
      <w:bookmarkEnd w:id="41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683"/>
      <w:bookmarkEnd w:id="42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4" w:name="sub_4684"/>
      <w:bookmarkEnd w:id="43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4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 Органы 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5.3.1.. Жалоба рассматривается органом местного самоуправления </w:t>
      </w:r>
      <w:r w:rsidR="005A3049" w:rsidRPr="005A3049">
        <w:rPr>
          <w:rFonts w:ascii="Times New Roman" w:hAnsi="Times New Roman" w:cs="Times New Roman"/>
          <w:sz w:val="28"/>
          <w:szCs w:val="28"/>
          <w:lang w:eastAsia="en-US"/>
        </w:rPr>
        <w:t>администрации муниципального образования Марьевский сельсовет, Сакмарского района, Оренбургской области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5" w:name="Par11"/>
      <w:bookmarkEnd w:id="45"/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6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7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8" w:history="1">
        <w:r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9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6" w:name="Par25"/>
      <w:bookmarkEnd w:id="46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E314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E3145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836AC" w:rsidRDefault="005836A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836AC" w:rsidRDefault="005836A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836AC" w:rsidRDefault="005836A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7B1" w:rsidRPr="0014449C" w:rsidRDefault="005B07B1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7" w:name="Par658"/>
      <w:bookmarkStart w:id="48" w:name="Par706"/>
      <w:bookmarkEnd w:id="47"/>
      <w:bookmarkEnd w:id="48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4E59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4E59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4E59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п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4E591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4E591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4E591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4E591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30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4E5915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E273A9" w:rsidRPr="007F2BA9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4E591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4E591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E273A9" w:rsidRPr="007F2BA9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4E591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E273A9" w:rsidRPr="0004423A" w:rsidRDefault="00E273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4E591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4E591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E273A9" w:rsidRPr="0004423A" w:rsidRDefault="00E273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E273A9" w:rsidRPr="007F2BA9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4E591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4E591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E273A9" w:rsidRPr="00DE4044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4E591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E273A9" w:rsidRPr="0015279E" w:rsidRDefault="00E273A9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4E591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4E591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E273A9" w:rsidRPr="00DE4044" w:rsidRDefault="00E273A9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15" w:rsidRDefault="004E5915" w:rsidP="00B22C6E">
      <w:pPr>
        <w:spacing w:after="0" w:line="240" w:lineRule="auto"/>
      </w:pPr>
      <w:r>
        <w:separator/>
      </w:r>
    </w:p>
  </w:endnote>
  <w:endnote w:type="continuationSeparator" w:id="0">
    <w:p w:rsidR="004E5915" w:rsidRDefault="004E5915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15" w:rsidRDefault="004E5915" w:rsidP="00B22C6E">
      <w:pPr>
        <w:spacing w:after="0" w:line="240" w:lineRule="auto"/>
      </w:pPr>
      <w:r>
        <w:separator/>
      </w:r>
    </w:p>
  </w:footnote>
  <w:footnote w:type="continuationSeparator" w:id="0">
    <w:p w:rsidR="004E5915" w:rsidRDefault="004E5915" w:rsidP="00B22C6E">
      <w:pPr>
        <w:spacing w:after="0" w:line="240" w:lineRule="auto"/>
      </w:pPr>
      <w:r>
        <w:continuationSeparator/>
      </w:r>
    </w:p>
  </w:footnote>
  <w:footnote w:id="1">
    <w:p w:rsidR="00E273A9" w:rsidRDefault="00E273A9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EndPr/>
    <w:sdtContent>
      <w:p w:rsidR="00E273A9" w:rsidRDefault="00381C5C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43B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6D3C"/>
    <w:multiLevelType w:val="multilevel"/>
    <w:tmpl w:val="BD863B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1C5C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5915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36AC"/>
    <w:rsid w:val="005875E6"/>
    <w:rsid w:val="00587C57"/>
    <w:rsid w:val="0059125A"/>
    <w:rsid w:val="00591DD6"/>
    <w:rsid w:val="005932AE"/>
    <w:rsid w:val="00594CEC"/>
    <w:rsid w:val="005A0BB1"/>
    <w:rsid w:val="005A3049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B67C7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43B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17856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90C28"/>
    <w:rsid w:val="00BA311E"/>
    <w:rsid w:val="00BB0CBA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7"/>
        <o:r id="V:Rule3" type="connector" idref="#Прямая со стрелкой 10"/>
        <o:r id="V:Rule4" type="connector" idref="#_x0000_s1102"/>
        <o:r id="V:Rule5" type="connector" idref="#_x0000_s1106"/>
        <o:r id="V:Rule6" type="connector" idref="#_x0000_s1104"/>
        <o:r id="V:Rule7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8E7013986F80C1F42358C01C09B30B4E6337F6DC1F4F448B029D8E3D09P3F" TargetMode="External"/><Relationship Id="rId18" Type="http://schemas.openxmlformats.org/officeDocument/2006/relationships/hyperlink" Target="mailto:office22@gov.orb.ru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8E7013986F80C1F42358C01C09B30B4E6337F5DD1B4F448B029D8E3D9342EDD5A3D954DB31762401PEF" TargetMode="External"/><Relationship Id="rId17" Type="http://schemas.openxmlformats.org/officeDocument/2006/relationships/hyperlink" Target="consultantplus://offline/ref=0F8E7013986F80C1F42346CD0A65EC024F6E6CFBD41B4D1AD65DC6D36A9A48BA92EC80169F3C772D1DEDB70EP7F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58C01C09B30B4E6230F7D9184F448B029D8E3D09P3F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E7013986F80C1F42358C01C09B30B4E6232F7D91C4F448B029D8E3D09P3F" TargetMode="External"/><Relationship Id="rId24" Type="http://schemas.openxmlformats.org/officeDocument/2006/relationships/hyperlink" Target="consultantplus://offline/ref=1DA3E51AE0180EC95543DCE6FD1FD774113BB293C9985922C80CA8C859F8AE379522880FB588FDEBK731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8E7013986F80C1F42358C01C09B30B4E6230F7DA184F448B029D8E3D09P3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consultantplus://offline/ref=0F8E7013986F80C1F42358C01C09B30B4D6D35F3D6481846DA579308PBF" TargetMode="External"/><Relationship Id="rId19" Type="http://schemas.openxmlformats.org/officeDocument/2006/relationships/hyperlink" Target="consultantplus://offline/ref=1DA3E51AE0180EC95543DCE6FD1FD774113BB293C9985922C80CA8C859F8AE379522880CB1K83C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F8E7013986F80C1F42358C01C09B30B4E6036F6D51D4F448B029D8E3D09P3F" TargetMode="External"/><Relationship Id="rId22" Type="http://schemas.openxmlformats.org/officeDocument/2006/relationships/hyperlink" Target="consultantplus://offline/ref=1DA3E51AE0180EC95543DCE6FD1FD774113BB293C9985922C80CA8C859F8AE379522880FB588FDEBK737E" TargetMode="External"/><Relationship Id="rId27" Type="http://schemas.openxmlformats.org/officeDocument/2006/relationships/hyperlink" Target="consultantplus://offline/ref=8188C12DC598D1A95CF4C4C51F21BB449C84A87B0DDDB862A2860BFDEDF7A21B91AAC52410qBB1N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CA91-7AE5-40C3-827A-8BA6D3FD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14645</Words>
  <Characters>83477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admbuh</cp:lastModifiedBy>
  <cp:revision>15</cp:revision>
  <cp:lastPrinted>2018-02-14T05:25:00Z</cp:lastPrinted>
  <dcterms:created xsi:type="dcterms:W3CDTF">2018-02-16T10:23:00Z</dcterms:created>
  <dcterms:modified xsi:type="dcterms:W3CDTF">2018-08-14T09:21:00Z</dcterms:modified>
</cp:coreProperties>
</file>